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711" w:rsidRPr="00DE08E9" w:rsidRDefault="00587711">
      <w:pPr>
        <w:rPr>
          <w:b/>
          <w:sz w:val="28"/>
        </w:rPr>
      </w:pPr>
      <w:bookmarkStart w:id="0" w:name="_GoBack"/>
      <w:bookmarkEnd w:id="0"/>
      <w:r w:rsidRPr="00DE08E9">
        <w:rPr>
          <w:rFonts w:hint="eastAsia"/>
          <w:b/>
          <w:sz w:val="28"/>
        </w:rPr>
        <w:t>ＣＯ要相談とは・・</w:t>
      </w:r>
    </w:p>
    <w:p w:rsidR="00587711" w:rsidRPr="00587711" w:rsidRDefault="00E27C95" w:rsidP="00E27C95">
      <w:pPr>
        <w:widowControl/>
        <w:ind w:left="-547"/>
        <w:jc w:val="left"/>
        <w:rPr>
          <w:rFonts w:asciiTheme="majorEastAsia" w:eastAsiaTheme="majorEastAsia" w:hAnsiTheme="majorEastAsia"/>
          <w:kern w:val="0"/>
          <w:szCs w:val="20"/>
        </w:rPr>
      </w:pPr>
      <w:r>
        <w:rPr>
          <w:rFonts w:asciiTheme="majorEastAsia" w:eastAsiaTheme="majorEastAsia" w:hAnsiTheme="majorEastAsia" w:hint="eastAsia"/>
          <w:kern w:val="0"/>
          <w:szCs w:val="56"/>
        </w:rPr>
        <w:t xml:space="preserve">　</w:t>
      </w:r>
      <w:r w:rsidR="00587711" w:rsidRPr="00587711">
        <w:rPr>
          <w:rFonts w:asciiTheme="majorEastAsia" w:eastAsiaTheme="majorEastAsia" w:hAnsiTheme="majorEastAsia" w:cs="+mn-cs" w:hint="eastAsia"/>
          <w:color w:val="000000"/>
          <w:kern w:val="24"/>
          <w:szCs w:val="56"/>
        </w:rPr>
        <w:t>隣接面や修</w:t>
      </w:r>
      <w:r>
        <w:rPr>
          <w:rFonts w:asciiTheme="majorEastAsia" w:eastAsiaTheme="majorEastAsia" w:hAnsiTheme="majorEastAsia" w:cs="+mn-cs" w:hint="eastAsia"/>
          <w:color w:val="000000"/>
          <w:kern w:val="24"/>
          <w:szCs w:val="56"/>
        </w:rPr>
        <w:t>復物下部の着色変化、アやイの状態が多数認められる場合等、地域の歯</w:t>
      </w:r>
      <w:r w:rsidR="00587711" w:rsidRPr="00587711">
        <w:rPr>
          <w:rFonts w:asciiTheme="majorEastAsia" w:eastAsiaTheme="majorEastAsia" w:hAnsiTheme="majorEastAsia" w:cs="+mn-cs" w:hint="eastAsia"/>
          <w:color w:val="000000"/>
          <w:kern w:val="24"/>
          <w:szCs w:val="56"/>
        </w:rPr>
        <w:t>科医療機関との連携が必要な場合が該当する。</w:t>
      </w:r>
    </w:p>
    <w:p w:rsidR="00587711" w:rsidRPr="00587711" w:rsidRDefault="00587711" w:rsidP="00587711">
      <w:pPr>
        <w:widowControl/>
        <w:ind w:hanging="446"/>
        <w:jc w:val="left"/>
        <w:rPr>
          <w:rFonts w:asciiTheme="majorEastAsia" w:eastAsiaTheme="majorEastAsia" w:hAnsiTheme="majorEastAsia"/>
          <w:kern w:val="0"/>
          <w:szCs w:val="20"/>
        </w:rPr>
      </w:pPr>
      <w:r w:rsidRPr="00587711">
        <w:rPr>
          <w:rFonts w:asciiTheme="majorEastAsia" w:eastAsiaTheme="majorEastAsia" w:hAnsiTheme="majorEastAsia" w:hint="eastAsia"/>
          <w:kern w:val="0"/>
          <w:szCs w:val="48"/>
        </w:rPr>
        <w:t>–</w:t>
      </w:r>
      <w:r w:rsidRPr="00587711">
        <w:rPr>
          <w:rFonts w:asciiTheme="majorEastAsia" w:eastAsiaTheme="majorEastAsia" w:hAnsiTheme="majorEastAsia" w:cs="+mn-cs" w:hint="eastAsia"/>
          <w:color w:val="000000"/>
          <w:kern w:val="24"/>
          <w:szCs w:val="48"/>
        </w:rPr>
        <w:t>ア：小窩裂孔において、エナメル質の実質欠損は認められないが、褐色、黒色などの着色や白濁が認められるもの。</w:t>
      </w:r>
    </w:p>
    <w:p w:rsidR="00587711" w:rsidRPr="00587711" w:rsidRDefault="00587711" w:rsidP="00587711">
      <w:pPr>
        <w:widowControl/>
        <w:ind w:hanging="446"/>
        <w:jc w:val="left"/>
        <w:rPr>
          <w:rFonts w:ascii="Calibri" w:eastAsia="ＭＳ Ｐゴシック" w:hAnsi="Calibri" w:cs="+mn-cs"/>
          <w:color w:val="000000"/>
          <w:kern w:val="24"/>
          <w:sz w:val="48"/>
          <w:szCs w:val="48"/>
        </w:rPr>
      </w:pPr>
      <w:r w:rsidRPr="00587711">
        <w:rPr>
          <w:rFonts w:asciiTheme="majorEastAsia" w:eastAsiaTheme="majorEastAsia" w:hAnsiTheme="majorEastAsia" w:hint="eastAsia"/>
          <w:kern w:val="0"/>
          <w:szCs w:val="48"/>
        </w:rPr>
        <w:t>–</w:t>
      </w:r>
      <w:r w:rsidRPr="00587711">
        <w:rPr>
          <w:rFonts w:asciiTheme="majorEastAsia" w:eastAsiaTheme="majorEastAsia" w:hAnsiTheme="majorEastAsia" w:cs="+mn-cs" w:hint="eastAsia"/>
          <w:color w:val="000000"/>
          <w:kern w:val="24"/>
          <w:szCs w:val="48"/>
        </w:rPr>
        <w:t>イ：</w:t>
      </w:r>
      <w:r w:rsidRPr="00587711">
        <w:rPr>
          <w:rFonts w:asciiTheme="majorEastAsia" w:eastAsiaTheme="majorEastAsia" w:hAnsiTheme="majorEastAsia" w:cs="ＭＳ 明朝" w:hint="eastAsia"/>
          <w:color w:val="000000"/>
          <w:kern w:val="24"/>
          <w:szCs w:val="48"/>
        </w:rPr>
        <w:t>平滑面において、脱灰を疑わしめる白濁や褐色斑等が認められるがエナメル質の実質欠損（う窩）の確認が明らかでないもの</w:t>
      </w:r>
      <w:r w:rsidRPr="00587711">
        <w:rPr>
          <w:rFonts w:asciiTheme="majorEastAsia" w:eastAsiaTheme="majorEastAsia" w:hAnsiTheme="majorEastAsia" w:cs="+mn-cs" w:hint="eastAsia"/>
          <w:color w:val="000000"/>
          <w:kern w:val="24"/>
          <w:szCs w:val="48"/>
        </w:rPr>
        <w:t xml:space="preserve"> </w:t>
      </w:r>
    </w:p>
    <w:p w:rsidR="00587711" w:rsidRPr="00587711" w:rsidRDefault="00587711" w:rsidP="00587711">
      <w:pPr>
        <w:widowControl/>
        <w:ind w:hanging="446"/>
        <w:jc w:val="left"/>
      </w:pPr>
      <w:r>
        <w:rPr>
          <w:rFonts w:hint="eastAsia"/>
          <w:noProof/>
        </w:rPr>
        <w:drawing>
          <wp:anchor distT="0" distB="0" distL="114300" distR="114300" simplePos="0" relativeHeight="251658240" behindDoc="0" locked="0" layoutInCell="1" allowOverlap="1">
            <wp:simplePos x="0" y="0"/>
            <wp:positionH relativeFrom="column">
              <wp:posOffset>-571500</wp:posOffset>
            </wp:positionH>
            <wp:positionV relativeFrom="paragraph">
              <wp:posOffset>130810</wp:posOffset>
            </wp:positionV>
            <wp:extent cx="2851150" cy="2139315"/>
            <wp:effectExtent l="25400" t="0" r="0" b="0"/>
            <wp:wrapTight wrapText="bothSides">
              <wp:wrapPolygon edited="0">
                <wp:start x="-192" y="0"/>
                <wp:lineTo x="-192" y="21542"/>
                <wp:lineTo x="21552" y="21542"/>
                <wp:lineTo x="21552" y="0"/>
                <wp:lineTo x="-192"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851150" cy="2139315"/>
                    </a:xfrm>
                    <a:prstGeom prst="rect">
                      <a:avLst/>
                    </a:prstGeom>
                    <a:noFill/>
                    <a:ln w="9525">
                      <a:noFill/>
                      <a:miter lim="800000"/>
                      <a:headEnd/>
                      <a:tailEnd/>
                    </a:ln>
                  </pic:spPr>
                </pic:pic>
              </a:graphicData>
            </a:graphic>
          </wp:anchor>
        </w:drawing>
      </w:r>
    </w:p>
    <w:p w:rsidR="00587711" w:rsidRDefault="00587711" w:rsidP="00587711">
      <w:pPr>
        <w:pStyle w:val="Web"/>
        <w:spacing w:beforeLines="0" w:afterLines="0"/>
        <w:rPr>
          <w:rFonts w:ascii="Calibri" w:eastAsia="ＭＳ Ｐゴシック" w:hAnsi="ＭＳ Ｐゴシック" w:cs="+mn-cs"/>
          <w:color w:val="000000"/>
          <w:kern w:val="24"/>
          <w:sz w:val="24"/>
          <w:szCs w:val="24"/>
        </w:rPr>
      </w:pPr>
      <w:r>
        <w:rPr>
          <w:rFonts w:ascii="Calibri" w:eastAsia="ＭＳ Ｐゴシック" w:hAnsi="ＭＳ Ｐゴシック" w:cs="+mn-cs" w:hint="eastAsia"/>
          <w:noProof/>
          <w:color w:val="000000"/>
          <w:kern w:val="24"/>
          <w:sz w:val="24"/>
          <w:szCs w:val="24"/>
        </w:rPr>
        <w:drawing>
          <wp:anchor distT="0" distB="0" distL="114300" distR="114300" simplePos="0" relativeHeight="251659264" behindDoc="0" locked="0" layoutInCell="1" allowOverlap="1">
            <wp:simplePos x="0" y="0"/>
            <wp:positionH relativeFrom="column">
              <wp:posOffset>-2983230</wp:posOffset>
            </wp:positionH>
            <wp:positionV relativeFrom="paragraph">
              <wp:posOffset>1654810</wp:posOffset>
            </wp:positionV>
            <wp:extent cx="2874645" cy="2154555"/>
            <wp:effectExtent l="25400" t="0" r="0" b="0"/>
            <wp:wrapTight wrapText="bothSides">
              <wp:wrapPolygon edited="0">
                <wp:start x="-191" y="0"/>
                <wp:lineTo x="-191" y="21390"/>
                <wp:lineTo x="21567" y="21390"/>
                <wp:lineTo x="21567" y="0"/>
                <wp:lineTo x="-191"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874645" cy="2154555"/>
                    </a:xfrm>
                    <a:prstGeom prst="rect">
                      <a:avLst/>
                    </a:prstGeom>
                    <a:noFill/>
                    <a:ln w="9525">
                      <a:noFill/>
                      <a:miter lim="800000"/>
                      <a:headEnd/>
                      <a:tailEnd/>
                    </a:ln>
                  </pic:spPr>
                </pic:pic>
              </a:graphicData>
            </a:graphic>
          </wp:anchor>
        </w:drawing>
      </w:r>
      <w:r>
        <w:rPr>
          <w:rFonts w:ascii="Calibri" w:eastAsia="ＭＳ Ｐゴシック" w:hAnsi="ＭＳ Ｐゴシック" w:cs="+mn-cs" w:hint="eastAsia"/>
          <w:color w:val="000000"/>
          <w:kern w:val="24"/>
          <w:sz w:val="24"/>
          <w:szCs w:val="24"/>
        </w:rPr>
        <w:t>このように、歯と歯の間にう蝕が有りそうだが、視診でう窩が確認出来ない場合。同じく修復物の下が変色していてう蝕が疑われるが、視診でう窩が確認出来ない場合。また、ＣＯの歯がたくさんある場合はＣＯ要相談として、ＣＯですが治療勧告します。学校歯科医所見欄に記入します</w:t>
      </w:r>
      <w:r w:rsidR="00E27C95">
        <w:rPr>
          <w:rFonts w:ascii="Calibri" w:eastAsia="ＭＳ Ｐゴシック" w:hAnsi="ＭＳ Ｐゴシック" w:cs="+mn-cs" w:hint="eastAsia"/>
          <w:color w:val="000000"/>
          <w:kern w:val="24"/>
          <w:sz w:val="24"/>
          <w:szCs w:val="24"/>
        </w:rPr>
        <w:t>。</w:t>
      </w:r>
    </w:p>
    <w:p w:rsidR="00587711" w:rsidRDefault="00587711" w:rsidP="00587711">
      <w:pPr>
        <w:pStyle w:val="Web"/>
        <w:spacing w:beforeLines="0" w:afterLines="0"/>
        <w:rPr>
          <w:noProof/>
        </w:rPr>
      </w:pPr>
    </w:p>
    <w:p w:rsidR="00587711" w:rsidRDefault="00587711" w:rsidP="00587711">
      <w:pPr>
        <w:pStyle w:val="Web"/>
        <w:spacing w:beforeLines="0" w:afterLines="0"/>
        <w:rPr>
          <w:rFonts w:asciiTheme="majorEastAsia" w:eastAsiaTheme="majorEastAsia" w:hAnsiTheme="majorEastAsia" w:cs="ＭＳ 明朝"/>
          <w:color w:val="000000"/>
          <w:kern w:val="24"/>
          <w:sz w:val="24"/>
          <w:szCs w:val="24"/>
        </w:rPr>
      </w:pPr>
      <w:r w:rsidRPr="00587711">
        <w:rPr>
          <w:rFonts w:asciiTheme="majorEastAsia" w:eastAsiaTheme="majorEastAsia" w:hAnsiTheme="majorEastAsia" w:cs="ＭＳ 明朝" w:hint="eastAsia"/>
          <w:color w:val="000000"/>
          <w:kern w:val="24"/>
          <w:sz w:val="24"/>
          <w:szCs w:val="24"/>
        </w:rPr>
        <w:t>ＣＯの例。視診でう窩を</w:t>
      </w:r>
      <w:r>
        <w:rPr>
          <w:rFonts w:asciiTheme="majorEastAsia" w:eastAsiaTheme="majorEastAsia" w:hAnsiTheme="majorEastAsia" w:cs="ＭＳ 明朝" w:hint="eastAsia"/>
          <w:color w:val="000000"/>
          <w:kern w:val="24"/>
          <w:sz w:val="24"/>
          <w:szCs w:val="24"/>
        </w:rPr>
        <w:t>確認できなければ</w:t>
      </w:r>
    </w:p>
    <w:p w:rsidR="00587711" w:rsidRPr="00587711" w:rsidRDefault="00587711" w:rsidP="00587711">
      <w:pPr>
        <w:pStyle w:val="Web"/>
        <w:spacing w:beforeLines="0" w:afterLines="0"/>
        <w:rPr>
          <w:rFonts w:asciiTheme="majorEastAsia" w:eastAsiaTheme="majorEastAsia" w:hAnsiTheme="majorEastAsia" w:cs="ＭＳ Ｐ明朝"/>
          <w:color w:val="000000"/>
          <w:kern w:val="24"/>
          <w:sz w:val="24"/>
          <w:szCs w:val="24"/>
        </w:rPr>
      </w:pPr>
      <w:r w:rsidRPr="00587711">
        <w:rPr>
          <w:rFonts w:asciiTheme="majorEastAsia" w:eastAsiaTheme="majorEastAsia" w:hAnsiTheme="majorEastAsia" w:cs="ＭＳ 明朝" w:hint="eastAsia"/>
          <w:color w:val="000000"/>
          <w:kern w:val="24"/>
          <w:sz w:val="24"/>
          <w:szCs w:val="24"/>
        </w:rPr>
        <w:t>ＣＯ</w:t>
      </w:r>
      <w:r w:rsidR="00E27C95">
        <w:rPr>
          <w:rFonts w:asciiTheme="majorEastAsia" w:eastAsiaTheme="majorEastAsia" w:hAnsiTheme="majorEastAsia" w:cs="ＭＳ 明朝" w:hint="eastAsia"/>
          <w:color w:val="000000"/>
          <w:kern w:val="24"/>
          <w:sz w:val="24"/>
          <w:szCs w:val="24"/>
        </w:rPr>
        <w:t>。</w:t>
      </w:r>
    </w:p>
    <w:p w:rsidR="00587711" w:rsidRDefault="00587711" w:rsidP="00587711">
      <w:pPr>
        <w:pStyle w:val="Web"/>
        <w:spacing w:beforeLines="0" w:afterLines="0"/>
        <w:rPr>
          <w:rFonts w:ascii="Calibri" w:eastAsia="ＭＳ Ｐゴシック" w:hAnsi="ＭＳ Ｐゴシック" w:cs="+mn-cs"/>
          <w:color w:val="000000"/>
          <w:kern w:val="24"/>
          <w:sz w:val="24"/>
          <w:szCs w:val="24"/>
        </w:rPr>
      </w:pPr>
    </w:p>
    <w:p w:rsidR="00587711" w:rsidRDefault="00587711" w:rsidP="00587711">
      <w:pPr>
        <w:pStyle w:val="Web"/>
        <w:spacing w:beforeLines="0" w:afterLines="0"/>
        <w:rPr>
          <w:rFonts w:ascii="Calibri" w:eastAsia="ＭＳ Ｐゴシック" w:hAnsi="ＭＳ Ｐゴシック" w:cs="+mn-cs"/>
          <w:color w:val="000000"/>
          <w:kern w:val="24"/>
          <w:sz w:val="24"/>
          <w:szCs w:val="24"/>
        </w:rPr>
      </w:pPr>
    </w:p>
    <w:p w:rsidR="00587711" w:rsidRDefault="00587711" w:rsidP="00587711">
      <w:pPr>
        <w:pStyle w:val="Web"/>
        <w:spacing w:beforeLines="0" w:afterLines="0"/>
        <w:rPr>
          <w:rFonts w:ascii="Calibri" w:eastAsia="ＭＳ Ｐゴシック" w:hAnsi="ＭＳ Ｐゴシック" w:cs="+mn-cs"/>
          <w:color w:val="000000"/>
          <w:kern w:val="24"/>
          <w:sz w:val="24"/>
          <w:szCs w:val="24"/>
        </w:rPr>
      </w:pPr>
    </w:p>
    <w:p w:rsidR="00587711" w:rsidRDefault="00587711" w:rsidP="00587711">
      <w:pPr>
        <w:pStyle w:val="Web"/>
        <w:spacing w:beforeLines="0" w:afterLines="0"/>
        <w:rPr>
          <w:rFonts w:ascii="Calibri" w:eastAsia="ＭＳ Ｐゴシック" w:hAnsi="ＭＳ Ｐゴシック" w:cs="+mn-cs"/>
          <w:color w:val="000000"/>
          <w:kern w:val="24"/>
          <w:sz w:val="24"/>
          <w:szCs w:val="24"/>
        </w:rPr>
      </w:pPr>
    </w:p>
    <w:p w:rsidR="00587711" w:rsidRDefault="00587711" w:rsidP="00587711">
      <w:pPr>
        <w:pStyle w:val="Web"/>
        <w:spacing w:beforeLines="0" w:afterLines="0"/>
        <w:rPr>
          <w:rFonts w:ascii="Calibri" w:eastAsia="ＭＳ Ｐゴシック" w:hAnsi="ＭＳ Ｐゴシック" w:cs="+mn-cs"/>
          <w:color w:val="000000"/>
          <w:kern w:val="24"/>
          <w:sz w:val="24"/>
          <w:szCs w:val="24"/>
        </w:rPr>
      </w:pPr>
    </w:p>
    <w:p w:rsidR="00587711" w:rsidRDefault="00587711" w:rsidP="00587711">
      <w:pPr>
        <w:pStyle w:val="Web"/>
        <w:spacing w:beforeLines="0" w:afterLines="0"/>
        <w:rPr>
          <w:rFonts w:asciiTheme="majorEastAsia" w:eastAsiaTheme="majorEastAsia" w:hAnsiTheme="majorEastAsia" w:cs="ＭＳ 明朝"/>
          <w:color w:val="000000"/>
          <w:kern w:val="24"/>
          <w:sz w:val="24"/>
          <w:szCs w:val="24"/>
        </w:rPr>
      </w:pPr>
      <w:r>
        <w:rPr>
          <w:rFonts w:ascii="Calibri" w:eastAsia="ＭＳ Ｐゴシック" w:hAnsi="ＭＳ Ｐゴシック" w:cs="+mn-cs" w:hint="eastAsia"/>
          <w:noProof/>
          <w:color w:val="000000"/>
          <w:kern w:val="24"/>
          <w:sz w:val="24"/>
          <w:szCs w:val="24"/>
        </w:rPr>
        <w:drawing>
          <wp:anchor distT="0" distB="0" distL="114300" distR="114300" simplePos="0" relativeHeight="251660288" behindDoc="0" locked="0" layoutInCell="1" allowOverlap="1">
            <wp:simplePos x="0" y="0"/>
            <wp:positionH relativeFrom="column">
              <wp:posOffset>-343535</wp:posOffset>
            </wp:positionH>
            <wp:positionV relativeFrom="paragraph">
              <wp:posOffset>253365</wp:posOffset>
            </wp:positionV>
            <wp:extent cx="2515235" cy="2002790"/>
            <wp:effectExtent l="25400" t="0" r="0" b="0"/>
            <wp:wrapTight wrapText="bothSides">
              <wp:wrapPolygon edited="0">
                <wp:start x="-218" y="0"/>
                <wp:lineTo x="-218" y="21367"/>
                <wp:lineTo x="21595" y="21367"/>
                <wp:lineTo x="21595" y="0"/>
                <wp:lineTo x="-218" y="0"/>
              </wp:wrapPolygon>
            </wp:wrapTight>
            <wp:docPr id="4" name="図 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15235" cy="2002790"/>
                    </a:xfrm>
                    <a:prstGeom prst="rect">
                      <a:avLst/>
                    </a:prstGeom>
                    <a:noFill/>
                    <a:ln w="9525">
                      <a:noFill/>
                      <a:miter lim="800000"/>
                      <a:headEnd/>
                      <a:tailEnd/>
                    </a:ln>
                  </pic:spPr>
                </pic:pic>
              </a:graphicData>
            </a:graphic>
          </wp:anchor>
        </w:drawing>
      </w:r>
      <w:r>
        <w:rPr>
          <w:rFonts w:asciiTheme="majorEastAsia" w:eastAsiaTheme="majorEastAsia" w:hAnsiTheme="majorEastAsia" w:cs="ＭＳ 明朝" w:hint="eastAsia"/>
          <w:color w:val="000000"/>
          <w:kern w:val="24"/>
          <w:sz w:val="24"/>
          <w:szCs w:val="24"/>
        </w:rPr>
        <w:t xml:space="preserve">平滑面におけるＣＯの症例　　</w:t>
      </w:r>
    </w:p>
    <w:p w:rsidR="00587711" w:rsidRPr="00587711" w:rsidRDefault="00587711" w:rsidP="00587711">
      <w:pPr>
        <w:pStyle w:val="Web"/>
        <w:spacing w:beforeLines="0" w:afterLines="0"/>
        <w:rPr>
          <w:rFonts w:ascii="Calibri" w:eastAsia="ＭＳ Ｐゴシック" w:hAnsi="ＭＳ Ｐゴシック" w:cs="+mn-cs"/>
          <w:color w:val="000000"/>
          <w:kern w:val="24"/>
          <w:sz w:val="24"/>
          <w:szCs w:val="24"/>
        </w:rPr>
      </w:pPr>
      <w:r w:rsidRPr="00587711">
        <w:rPr>
          <w:rFonts w:asciiTheme="majorEastAsia" w:eastAsiaTheme="majorEastAsia" w:hAnsiTheme="majorEastAsia" w:cs="ＭＳ 明朝" w:hint="eastAsia"/>
          <w:color w:val="000000"/>
          <w:kern w:val="24"/>
          <w:sz w:val="24"/>
          <w:szCs w:val="24"/>
        </w:rPr>
        <w:t>視診にて明らかなう窩が認められなければ、ＣＯとして学校で食生活の改善やブラッシングの改善を指導する。このように多数歯に初期脱灰が認められ、学校における保健指導では、う窩が形成される可能性が高いハイリスクの</w:t>
      </w:r>
      <w:r>
        <w:rPr>
          <w:rFonts w:asciiTheme="majorEastAsia" w:eastAsiaTheme="majorEastAsia" w:hAnsiTheme="majorEastAsia" w:cs="ＭＳ 明朝" w:hint="eastAsia"/>
          <w:color w:val="000000"/>
          <w:kern w:val="24"/>
          <w:sz w:val="24"/>
          <w:szCs w:val="24"/>
        </w:rPr>
        <w:t>児童生徒等では、「ＣＯ要相談」として、地域の医療期間との連携</w:t>
      </w:r>
      <w:r w:rsidR="00DE08E9">
        <w:rPr>
          <w:rFonts w:asciiTheme="majorEastAsia" w:eastAsiaTheme="majorEastAsia" w:hAnsiTheme="majorEastAsia" w:cs="ＭＳ 明朝" w:hint="eastAsia"/>
          <w:color w:val="000000"/>
          <w:kern w:val="24"/>
          <w:sz w:val="24"/>
          <w:szCs w:val="24"/>
        </w:rPr>
        <w:t>を図りながら、学校で</w:t>
      </w:r>
      <w:r w:rsidRPr="00587711">
        <w:rPr>
          <w:rFonts w:asciiTheme="majorEastAsia" w:eastAsiaTheme="majorEastAsia" w:hAnsiTheme="majorEastAsia" w:cs="ＭＳ 明朝" w:hint="eastAsia"/>
          <w:color w:val="000000"/>
          <w:kern w:val="24"/>
          <w:sz w:val="24"/>
          <w:szCs w:val="24"/>
        </w:rPr>
        <w:t>の保健指導をすることも考えられる。</w:t>
      </w:r>
    </w:p>
    <w:p w:rsidR="0079672B" w:rsidRPr="00587711" w:rsidRDefault="00730632" w:rsidP="00587711">
      <w:pPr>
        <w:pStyle w:val="Web"/>
        <w:spacing w:beforeLines="0" w:afterLines="0"/>
        <w:rPr>
          <w:rFonts w:ascii="Calibri" w:eastAsia="ＭＳ Ｐゴシック" w:hAnsi="ＭＳ Ｐゴシック" w:cs="+mn-cs"/>
          <w:color w:val="000000"/>
          <w:kern w:val="24"/>
          <w:sz w:val="24"/>
          <w:szCs w:val="24"/>
        </w:rPr>
      </w:pPr>
    </w:p>
    <w:sectPr w:rsidR="0079672B" w:rsidRPr="00587711" w:rsidSect="0079672B">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4E"/>
    <w:family w:val="auto"/>
    <w:pitch w:val="variable"/>
    <w:sig w:usb0="00000001"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11"/>
    <w:rsid w:val="00587711"/>
    <w:rsid w:val="00730632"/>
    <w:rsid w:val="008377EE"/>
    <w:rsid w:val="00DE08E9"/>
    <w:rsid w:val="00E27C9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9C948ADE-8832-418D-8F0C-81D7E550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9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587711"/>
    <w:pPr>
      <w:widowControl/>
      <w:spacing w:beforeLines="1" w:afterLines="1"/>
      <w:jc w:val="left"/>
    </w:pPr>
    <w:rPr>
      <w:rFonts w:ascii="Times"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12341">
      <w:bodyDiv w:val="1"/>
      <w:marLeft w:val="0"/>
      <w:marRight w:val="0"/>
      <w:marTop w:val="0"/>
      <w:marBottom w:val="0"/>
      <w:divBdr>
        <w:top w:val="none" w:sz="0" w:space="0" w:color="auto"/>
        <w:left w:val="none" w:sz="0" w:space="0" w:color="auto"/>
        <w:bottom w:val="none" w:sz="0" w:space="0" w:color="auto"/>
        <w:right w:val="none" w:sz="0" w:space="0" w:color="auto"/>
      </w:divBdr>
    </w:div>
    <w:div w:id="268244941">
      <w:bodyDiv w:val="1"/>
      <w:marLeft w:val="0"/>
      <w:marRight w:val="0"/>
      <w:marTop w:val="0"/>
      <w:marBottom w:val="0"/>
      <w:divBdr>
        <w:top w:val="none" w:sz="0" w:space="0" w:color="auto"/>
        <w:left w:val="none" w:sz="0" w:space="0" w:color="auto"/>
        <w:bottom w:val="none" w:sz="0" w:space="0" w:color="auto"/>
        <w:right w:val="none" w:sz="0" w:space="0" w:color="auto"/>
      </w:divBdr>
    </w:div>
    <w:div w:id="771243294">
      <w:bodyDiv w:val="1"/>
      <w:marLeft w:val="0"/>
      <w:marRight w:val="0"/>
      <w:marTop w:val="0"/>
      <w:marBottom w:val="0"/>
      <w:divBdr>
        <w:top w:val="none" w:sz="0" w:space="0" w:color="auto"/>
        <w:left w:val="none" w:sz="0" w:space="0" w:color="auto"/>
        <w:bottom w:val="none" w:sz="0" w:space="0" w:color="auto"/>
        <w:right w:val="none" w:sz="0" w:space="0" w:color="auto"/>
      </w:divBdr>
      <w:divsChild>
        <w:div w:id="695228662">
          <w:marLeft w:val="547"/>
          <w:marRight w:val="0"/>
          <w:marTop w:val="0"/>
          <w:marBottom w:val="0"/>
          <w:divBdr>
            <w:top w:val="none" w:sz="0" w:space="0" w:color="auto"/>
            <w:left w:val="none" w:sz="0" w:space="0" w:color="auto"/>
            <w:bottom w:val="none" w:sz="0" w:space="0" w:color="auto"/>
            <w:right w:val="none" w:sz="0" w:space="0" w:color="auto"/>
          </w:divBdr>
        </w:div>
        <w:div w:id="147599436">
          <w:marLeft w:val="1166"/>
          <w:marRight w:val="0"/>
          <w:marTop w:val="0"/>
          <w:marBottom w:val="0"/>
          <w:divBdr>
            <w:top w:val="none" w:sz="0" w:space="0" w:color="auto"/>
            <w:left w:val="none" w:sz="0" w:space="0" w:color="auto"/>
            <w:bottom w:val="none" w:sz="0" w:space="0" w:color="auto"/>
            <w:right w:val="none" w:sz="0" w:space="0" w:color="auto"/>
          </w:divBdr>
        </w:div>
        <w:div w:id="2068991856">
          <w:marLeft w:val="1166"/>
          <w:marRight w:val="0"/>
          <w:marTop w:val="0"/>
          <w:marBottom w:val="0"/>
          <w:divBdr>
            <w:top w:val="none" w:sz="0" w:space="0" w:color="auto"/>
            <w:left w:val="none" w:sz="0" w:space="0" w:color="auto"/>
            <w:bottom w:val="none" w:sz="0" w:space="0" w:color="auto"/>
            <w:right w:val="none" w:sz="0" w:space="0" w:color="auto"/>
          </w:divBdr>
        </w:div>
      </w:divsChild>
    </w:div>
    <w:div w:id="1244485198">
      <w:bodyDiv w:val="1"/>
      <w:marLeft w:val="0"/>
      <w:marRight w:val="0"/>
      <w:marTop w:val="0"/>
      <w:marBottom w:val="0"/>
      <w:divBdr>
        <w:top w:val="none" w:sz="0" w:space="0" w:color="auto"/>
        <w:left w:val="none" w:sz="0" w:space="0" w:color="auto"/>
        <w:bottom w:val="none" w:sz="0" w:space="0" w:color="auto"/>
        <w:right w:val="none" w:sz="0" w:space="0" w:color="auto"/>
      </w:divBdr>
    </w:div>
    <w:div w:id="1479541262">
      <w:bodyDiv w:val="1"/>
      <w:marLeft w:val="0"/>
      <w:marRight w:val="0"/>
      <w:marTop w:val="0"/>
      <w:marBottom w:val="0"/>
      <w:divBdr>
        <w:top w:val="none" w:sz="0" w:space="0" w:color="auto"/>
        <w:left w:val="none" w:sz="0" w:space="0" w:color="auto"/>
        <w:bottom w:val="none" w:sz="0" w:space="0" w:color="auto"/>
        <w:right w:val="none" w:sz="0" w:space="0" w:color="auto"/>
      </w:divBdr>
    </w:div>
    <w:div w:id="1643803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Words>
  <Characters>448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村山歯科医院</Company>
  <LinksUpToDate>false</LinksUpToDate>
  <CharactersWithSpaces>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千葉順一</dc:creator>
  <cp:keywords/>
  <cp:lastModifiedBy>千葉順一</cp:lastModifiedBy>
  <cp:revision>2</cp:revision>
  <dcterms:created xsi:type="dcterms:W3CDTF">2016-02-04T23:15:00Z</dcterms:created>
  <dcterms:modified xsi:type="dcterms:W3CDTF">2016-02-04T23:15:00Z</dcterms:modified>
</cp:coreProperties>
</file>